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0" w:rsidRDefault="00134D60" w:rsidP="00134D6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134D60">
        <w:rPr>
          <w:rFonts w:ascii="Arial" w:eastAsia="Times New Roman" w:hAnsi="Arial" w:cs="Arial"/>
          <w:b/>
          <w:bCs/>
          <w:sz w:val="43"/>
          <w:szCs w:val="43"/>
        </w:rPr>
        <w:t xml:space="preserve">Local Music Stores (Supplies </w:t>
      </w:r>
      <w:r>
        <w:rPr>
          <w:rFonts w:ascii="Arial" w:eastAsia="Times New Roman" w:hAnsi="Arial" w:cs="Arial"/>
          <w:b/>
          <w:bCs/>
          <w:sz w:val="43"/>
          <w:szCs w:val="43"/>
        </w:rPr>
        <w:t>and</w:t>
      </w:r>
      <w:r w:rsidRPr="00134D60">
        <w:rPr>
          <w:rFonts w:ascii="Arial" w:eastAsia="Times New Roman" w:hAnsi="Arial" w:cs="Arial"/>
          <w:b/>
          <w:bCs/>
          <w:sz w:val="43"/>
          <w:szCs w:val="43"/>
        </w:rPr>
        <w:t xml:space="preserve"> Rentals)</w:t>
      </w:r>
    </w:p>
    <w:p w:rsidR="00134D60" w:rsidRPr="00134D60" w:rsidRDefault="00134D60" w:rsidP="00134D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D60" w:rsidRDefault="00134D60" w:rsidP="00134D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D60" w:rsidRDefault="00134D60" w:rsidP="00134D60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134D60">
        <w:rPr>
          <w:rFonts w:ascii="Arial" w:eastAsia="Times New Roman" w:hAnsi="Arial" w:cs="Arial"/>
          <w:b/>
          <w:bCs/>
          <w:sz w:val="27"/>
          <w:szCs w:val="27"/>
        </w:rPr>
        <w:t>Here are some local music stores that can help with rentals, equipment, strings, etc:</w:t>
      </w:r>
    </w:p>
    <w:p w:rsidR="00134D60" w:rsidRDefault="00134D60" w:rsidP="00134D60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3510"/>
      </w:tblGrid>
      <w:tr w:rsidR="00BF5D96" w:rsidTr="00715A65"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Performance Music</w:t>
            </w:r>
          </w:p>
        </w:tc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Main St, Woburn</w:t>
            </w:r>
          </w:p>
        </w:tc>
        <w:tc>
          <w:tcPr>
            <w:tcW w:w="351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781-938-6411</w:t>
            </w:r>
          </w:p>
        </w:tc>
      </w:tr>
      <w:tr w:rsidR="00BF5D96" w:rsidTr="00715A65"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K&amp;C Music</w:t>
            </w:r>
          </w:p>
        </w:tc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Norwood</w:t>
            </w:r>
          </w:p>
        </w:tc>
        <w:tc>
          <w:tcPr>
            <w:tcW w:w="351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781-769-6520</w:t>
            </w:r>
          </w:p>
        </w:tc>
      </w:tr>
      <w:tr w:rsidR="00BF5D96" w:rsidTr="00715A65"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Johnston Strings</w:t>
            </w:r>
          </w:p>
        </w:tc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Newton</w:t>
            </w:r>
          </w:p>
        </w:tc>
        <w:tc>
          <w:tcPr>
            <w:tcW w:w="3510" w:type="dxa"/>
          </w:tcPr>
          <w:p w:rsidR="00BF5D96" w:rsidRPr="00BF5D96" w:rsidRDefault="00BF5D96" w:rsidP="00134D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800-359-9351</w:t>
            </w:r>
          </w:p>
        </w:tc>
      </w:tr>
      <w:tr w:rsidR="00BF5D96" w:rsidTr="00715A65"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The Music Place,</w:t>
            </w:r>
          </w:p>
        </w:tc>
        <w:tc>
          <w:tcPr>
            <w:tcW w:w="3240" w:type="dxa"/>
          </w:tcPr>
          <w:p w:rsidR="00BF5D96" w:rsidRDefault="00BF5D96" w:rsidP="00134D60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Main St., North Reading</w:t>
            </w:r>
          </w:p>
        </w:tc>
        <w:tc>
          <w:tcPr>
            <w:tcW w:w="3510" w:type="dxa"/>
          </w:tcPr>
          <w:p w:rsidR="00BF5D96" w:rsidRPr="00BF5D96" w:rsidRDefault="00BF5D96" w:rsidP="00134D6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978-664-621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3</w:t>
            </w:r>
          </w:p>
        </w:tc>
      </w:tr>
      <w:tr w:rsidR="00BF5D96" w:rsidTr="00715A65">
        <w:tc>
          <w:tcPr>
            <w:tcW w:w="3240" w:type="dxa"/>
          </w:tcPr>
          <w:p w:rsidR="00BF5D96" w:rsidRPr="00134D60" w:rsidRDefault="00BF5D96" w:rsidP="00134D6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Tewksbury Music  </w:t>
            </w:r>
          </w:p>
        </w:tc>
        <w:tc>
          <w:tcPr>
            <w:tcW w:w="3240" w:type="dxa"/>
          </w:tcPr>
          <w:p w:rsidR="00BF5D96" w:rsidRPr="00134D60" w:rsidRDefault="00BF5D96" w:rsidP="00134D6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Tewksbury</w:t>
            </w:r>
          </w:p>
        </w:tc>
        <w:tc>
          <w:tcPr>
            <w:tcW w:w="3510" w:type="dxa"/>
          </w:tcPr>
          <w:p w:rsidR="00BF5D96" w:rsidRPr="00BF5D96" w:rsidRDefault="00BF5D96" w:rsidP="00BF5D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978-851-6700</w:t>
            </w:r>
          </w:p>
        </w:tc>
      </w:tr>
      <w:tr w:rsidR="00BF5D96" w:rsidTr="00715A65">
        <w:tc>
          <w:tcPr>
            <w:tcW w:w="3240" w:type="dxa"/>
          </w:tcPr>
          <w:p w:rsidR="00BF5D96" w:rsidRPr="00134D60" w:rsidRDefault="00BF5D96" w:rsidP="00134D6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David French  </w:t>
            </w:r>
          </w:p>
        </w:tc>
        <w:tc>
          <w:tcPr>
            <w:tcW w:w="3240" w:type="dxa"/>
          </w:tcPr>
          <w:p w:rsidR="00BF5D96" w:rsidRPr="00134D60" w:rsidRDefault="00BF5D96" w:rsidP="00134D60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510" w:type="dxa"/>
          </w:tcPr>
          <w:p w:rsidR="00BF5D96" w:rsidRPr="00134D60" w:rsidRDefault="00BF5D96" w:rsidP="00BF5D9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134D60">
              <w:rPr>
                <w:rFonts w:ascii="Arial" w:eastAsia="Times New Roman" w:hAnsi="Arial" w:cs="Arial"/>
                <w:sz w:val="27"/>
                <w:szCs w:val="27"/>
              </w:rPr>
              <w:t>508-366-5994</w:t>
            </w:r>
          </w:p>
        </w:tc>
      </w:tr>
    </w:tbl>
    <w:p w:rsidR="00BF5D96" w:rsidRDefault="00BF5D96" w:rsidP="00134D60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715A65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D60">
        <w:rPr>
          <w:rFonts w:ascii="Arial" w:eastAsia="Times New Roman" w:hAnsi="Arial" w:cs="Arial"/>
          <w:sz w:val="27"/>
          <w:szCs w:val="27"/>
        </w:rPr>
        <w:t> </w:t>
      </w:r>
      <w:r w:rsidRPr="00134D60">
        <w:rPr>
          <w:rFonts w:ascii="Arial" w:eastAsia="Times New Roman" w:hAnsi="Arial" w:cs="Arial"/>
          <w:sz w:val="24"/>
          <w:szCs w:val="24"/>
        </w:rPr>
        <w:t xml:space="preserve">A representative from David French will be at our parent information meeting on Wednesday, September 14 to assist with rental sign ups. David French sends a representative to WPS once a week to pick up or drop off instruments, and send supplies. If you have an issue with your instrument, this is a really convenient way to deal with this. They have loaners that can be used while your instrument is in the shop.      </w:t>
      </w:r>
    </w:p>
    <w:p w:rsidR="00134D60" w:rsidRP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D60">
        <w:rPr>
          <w:rFonts w:ascii="Arial" w:eastAsia="Times New Roman" w:hAnsi="Arial" w:cs="Arial"/>
          <w:sz w:val="24"/>
          <w:szCs w:val="24"/>
        </w:rPr>
        <w:t>     </w:t>
      </w:r>
    </w:p>
    <w:p w:rsidR="00134D60" w:rsidRP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D60">
        <w:rPr>
          <w:rFonts w:ascii="Arial" w:eastAsia="Times New Roman" w:hAnsi="Arial" w:cs="Arial"/>
          <w:b/>
          <w:bCs/>
          <w:sz w:val="27"/>
          <w:szCs w:val="27"/>
        </w:rPr>
        <w:t>To Rent or Buy... that is the question.</w:t>
      </w:r>
    </w:p>
    <w:p w:rsid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D60">
        <w:rPr>
          <w:rFonts w:ascii="Arial" w:eastAsia="Times New Roman" w:hAnsi="Arial" w:cs="Arial"/>
          <w:sz w:val="24"/>
          <w:szCs w:val="24"/>
        </w:rPr>
        <w:t>Buying a string instrument is a really appealing proposition. I know you can find them pretty cheap on Craig's List, eBay, and Amazon, but I strongly suggest that all beginning students (including those that have been playing for less than 3 years) RENT their first instrument.</w:t>
      </w:r>
    </w:p>
    <w:p w:rsid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4D60" w:rsidRP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D60">
        <w:rPr>
          <w:rFonts w:ascii="Arial" w:eastAsia="Times New Roman" w:hAnsi="Arial" w:cs="Arial"/>
          <w:sz w:val="24"/>
          <w:szCs w:val="24"/>
        </w:rPr>
        <w:t>Here are a few benefits to renting an instrument:</w:t>
      </w:r>
    </w:p>
    <w:p w:rsidR="00134D60" w:rsidRPr="00BF5D96" w:rsidRDefault="00134D60" w:rsidP="00BF5D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5D96">
        <w:rPr>
          <w:rFonts w:ascii="Arial" w:eastAsia="Times New Roman" w:hAnsi="Arial" w:cs="Arial"/>
          <w:sz w:val="24"/>
          <w:szCs w:val="24"/>
        </w:rPr>
        <w:t>Orchestral instruments are sized to</w:t>
      </w:r>
      <w:r w:rsidR="00BF5D96">
        <w:rPr>
          <w:rFonts w:ascii="Arial" w:eastAsia="Times New Roman" w:hAnsi="Arial" w:cs="Arial"/>
          <w:sz w:val="24"/>
          <w:szCs w:val="24"/>
        </w:rPr>
        <w:t xml:space="preserve"> match the size of the player. </w:t>
      </w:r>
      <w:r w:rsidRPr="00BF5D96">
        <w:rPr>
          <w:rFonts w:ascii="Arial" w:eastAsia="Times New Roman" w:hAnsi="Arial" w:cs="Arial"/>
          <w:sz w:val="24"/>
          <w:szCs w:val="24"/>
        </w:rPr>
        <w:t>The smallest instruments are 1/8 size</w:t>
      </w:r>
      <w:r w:rsidR="00BF5D96">
        <w:rPr>
          <w:rFonts w:ascii="Arial" w:eastAsia="Times New Roman" w:hAnsi="Arial" w:cs="Arial"/>
          <w:sz w:val="24"/>
          <w:szCs w:val="24"/>
        </w:rPr>
        <w:t>, and go all the way up to 4/4.</w:t>
      </w:r>
      <w:r w:rsidRPr="00BF5D96">
        <w:rPr>
          <w:rFonts w:ascii="Arial" w:eastAsia="Times New Roman" w:hAnsi="Arial" w:cs="Arial"/>
          <w:sz w:val="24"/>
          <w:szCs w:val="24"/>
        </w:rPr>
        <w:t> A rental program would allow you to change sizes as needed, without having to</w:t>
      </w:r>
      <w:r w:rsidR="00BF5D96">
        <w:rPr>
          <w:rFonts w:ascii="Arial" w:eastAsia="Times New Roman" w:hAnsi="Arial" w:cs="Arial"/>
          <w:sz w:val="24"/>
          <w:szCs w:val="24"/>
        </w:rPr>
        <w:t xml:space="preserve"> purchase a new instrument, bow</w:t>
      </w:r>
      <w:r w:rsidRPr="00BF5D96">
        <w:rPr>
          <w:rFonts w:ascii="Arial" w:eastAsia="Times New Roman" w:hAnsi="Arial" w:cs="Arial"/>
          <w:sz w:val="24"/>
          <w:szCs w:val="24"/>
        </w:rPr>
        <w:t xml:space="preserve"> and case. </w:t>
      </w:r>
    </w:p>
    <w:p w:rsidR="00134D60" w:rsidRPr="00BF5D96" w:rsidRDefault="00134D60" w:rsidP="00BF5D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5D96">
        <w:rPr>
          <w:rFonts w:ascii="Arial" w:eastAsia="Times New Roman" w:hAnsi="Arial" w:cs="Arial"/>
          <w:sz w:val="24"/>
          <w:szCs w:val="24"/>
        </w:rPr>
        <w:t>If anything happens to the instrument, or if it is in need of repair, the rental company will take care of those details.</w:t>
      </w:r>
    </w:p>
    <w:p w:rsidR="00134D60" w:rsidRPr="00BF5D96" w:rsidRDefault="00134D60" w:rsidP="00BF5D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5D96">
        <w:rPr>
          <w:rFonts w:ascii="Arial" w:eastAsia="Times New Roman" w:hAnsi="Arial" w:cs="Arial"/>
          <w:sz w:val="24"/>
          <w:szCs w:val="24"/>
        </w:rPr>
        <w:t>The store or shop that the instrument is rented through will make sure that the instrument is in good working condition</w:t>
      </w:r>
      <w:r w:rsidR="00BF5D96">
        <w:rPr>
          <w:rFonts w:ascii="Arial" w:eastAsia="Times New Roman" w:hAnsi="Arial" w:cs="Arial"/>
          <w:sz w:val="24"/>
          <w:szCs w:val="24"/>
        </w:rPr>
        <w:t xml:space="preserve"> and is playable. </w:t>
      </w:r>
      <w:r w:rsidRPr="00BF5D96">
        <w:rPr>
          <w:rFonts w:ascii="Arial" w:eastAsia="Times New Roman" w:hAnsi="Arial" w:cs="Arial"/>
          <w:sz w:val="24"/>
          <w:szCs w:val="24"/>
        </w:rPr>
        <w:t>Many beginning students grow frustrated with cheaply made instruments because they can't get a good sound out of them. I would advise to steer clear of the "package deal</w:t>
      </w:r>
      <w:r w:rsidR="00BF5D96">
        <w:rPr>
          <w:rFonts w:ascii="Arial" w:eastAsia="Times New Roman" w:hAnsi="Arial" w:cs="Arial"/>
          <w:sz w:val="24"/>
          <w:szCs w:val="24"/>
        </w:rPr>
        <w:t xml:space="preserve">" that you can find on Amazon. </w:t>
      </w:r>
      <w:r w:rsidRPr="00BF5D96">
        <w:rPr>
          <w:rFonts w:ascii="Arial" w:eastAsia="Times New Roman" w:hAnsi="Arial" w:cs="Arial"/>
          <w:sz w:val="24"/>
          <w:szCs w:val="24"/>
        </w:rPr>
        <w:t>They are not always quality instruments.</w:t>
      </w:r>
    </w:p>
    <w:p w:rsidR="00134D60" w:rsidRPr="00BF5D96" w:rsidRDefault="00134D60" w:rsidP="00BF5D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5D96">
        <w:rPr>
          <w:rFonts w:ascii="Arial" w:eastAsia="Times New Roman" w:hAnsi="Arial" w:cs="Arial"/>
          <w:sz w:val="24"/>
          <w:szCs w:val="24"/>
        </w:rPr>
        <w:t>If your child decides that playing the violin (viola, cello, bass) is not for them, you can simply return the instrument.  </w:t>
      </w:r>
    </w:p>
    <w:p w:rsidR="00134D60" w:rsidRPr="00134D60" w:rsidRDefault="00134D60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4D60" w:rsidRPr="00134D60" w:rsidRDefault="00BF5D96" w:rsidP="00134D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you </w:t>
      </w:r>
      <w:r w:rsidR="00134D60" w:rsidRPr="00134D60">
        <w:rPr>
          <w:rFonts w:ascii="Arial" w:eastAsia="Times New Roman" w:hAnsi="Arial" w:cs="Arial"/>
          <w:sz w:val="24"/>
          <w:szCs w:val="24"/>
        </w:rPr>
        <w:t>are in a full sized (4/4) instrument, you are in a better position</w:t>
      </w:r>
      <w:r>
        <w:rPr>
          <w:rFonts w:ascii="Arial" w:eastAsia="Times New Roman" w:hAnsi="Arial" w:cs="Arial"/>
          <w:sz w:val="24"/>
          <w:szCs w:val="24"/>
        </w:rPr>
        <w:t xml:space="preserve"> to purchase, instead of rent. </w:t>
      </w:r>
      <w:r w:rsidR="00134D60" w:rsidRPr="00134D60">
        <w:rPr>
          <w:rFonts w:ascii="Arial" w:eastAsia="Times New Roman" w:hAnsi="Arial" w:cs="Arial"/>
          <w:sz w:val="24"/>
          <w:szCs w:val="24"/>
        </w:rPr>
        <w:t>At that point, I suggest visiting your local music store, or a strings specialt</w:t>
      </w:r>
      <w:r>
        <w:rPr>
          <w:rFonts w:ascii="Arial" w:eastAsia="Times New Roman" w:hAnsi="Arial" w:cs="Arial"/>
          <w:sz w:val="24"/>
          <w:szCs w:val="24"/>
        </w:rPr>
        <w:t xml:space="preserve">y store to see what they have. </w:t>
      </w:r>
      <w:r w:rsidR="00134D60" w:rsidRPr="00134D60">
        <w:rPr>
          <w:rFonts w:ascii="Arial" w:eastAsia="Times New Roman" w:hAnsi="Arial" w:cs="Arial"/>
          <w:sz w:val="24"/>
          <w:szCs w:val="24"/>
        </w:rPr>
        <w:t>A used instrument can be better than a new one! Make sure you play the instrument - do not purchase the instrument sight-unseen.  </w:t>
      </w:r>
    </w:p>
    <w:sectPr w:rsidR="00134D60" w:rsidRPr="00134D60" w:rsidSect="00715A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182E"/>
    <w:multiLevelType w:val="hybridMultilevel"/>
    <w:tmpl w:val="8BBAF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D69C2"/>
    <w:multiLevelType w:val="multilevel"/>
    <w:tmpl w:val="C3A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D60"/>
    <w:rsid w:val="00134D60"/>
    <w:rsid w:val="00715A65"/>
    <w:rsid w:val="009728E2"/>
    <w:rsid w:val="00BF5D96"/>
    <w:rsid w:val="00FD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F5"/>
  </w:style>
  <w:style w:type="paragraph" w:styleId="Heading3">
    <w:name w:val="heading 3"/>
    <w:basedOn w:val="Normal"/>
    <w:link w:val="Heading3Char"/>
    <w:uiPriority w:val="9"/>
    <w:qFormat/>
    <w:rsid w:val="00134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D6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BF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Leica</dc:creator>
  <cp:lastModifiedBy>Leica</cp:lastModifiedBy>
  <cp:revision>3</cp:revision>
  <dcterms:created xsi:type="dcterms:W3CDTF">2019-09-19T23:10:00Z</dcterms:created>
  <dcterms:modified xsi:type="dcterms:W3CDTF">2019-09-19T23:18:00Z</dcterms:modified>
</cp:coreProperties>
</file>